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течение 4-х недель от даты подписания Приложения Поставщик предоставляет Покупателю для утверждения рабочую кон</w:t>
      </w:r>
      <w:r>
        <w:t>структорскую документацию</w:t>
      </w:r>
      <w:r w:rsidRPr="008304A9">
        <w:t>;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Требование согласования рабочей конструкторской документации на изготовление Товара специалистами Проектной организации и Покупателем в полном объеме является обязательным для Поставщика.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обязуется направить Покупателю в электронном виде рабочую документацию для изготовления Товара, согласованную проектной организацией, в течение 3-х дней от даты её письменного согласования.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Поставщику разрешается поставлять Товар только после согласования РКД специалистами проектной организации и Покупателем.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разработка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proofErr w:type="gramStart"/>
      <w:r w:rsidRPr="008304A9">
        <w:t xml:space="preserve"> ;</w:t>
      </w:r>
      <w:proofErr w:type="gramEnd"/>
      <w:r w:rsidRPr="008304A9">
        <w:t xml:space="preserve">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организация</w:t>
      </w:r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</w:t>
      </w:r>
      <w:r w:rsidR="0045519F">
        <w:t xml:space="preserve"> </w:t>
      </w:r>
      <w:r w:rsidR="0045519F" w:rsidRPr="008304A9">
        <w:t>сертификат соответствия, ТР ТС</w:t>
      </w:r>
      <w:r w:rsidR="0045519F" w:rsidRPr="008304A9">
        <w:t xml:space="preserve"> </w:t>
      </w:r>
      <w:bookmarkStart w:id="0" w:name="_GoBack"/>
      <w:bookmarkEnd w:id="0"/>
      <w:r w:rsidRPr="008304A9">
        <w:t xml:space="preserve">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45519F"/>
    <w:rsid w:val="008D2785"/>
    <w:rsid w:val="00A64F69"/>
    <w:rsid w:val="00E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4</cp:revision>
  <dcterms:created xsi:type="dcterms:W3CDTF">2017-02-27T07:45:00Z</dcterms:created>
  <dcterms:modified xsi:type="dcterms:W3CDTF">2017-03-07T13:04:00Z</dcterms:modified>
</cp:coreProperties>
</file>